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文鼎小标宋简" w:hAnsi="宋体" w:eastAsia="文鼎小标宋简" w:cs="宋体"/>
          <w:bCs/>
          <w:sz w:val="44"/>
          <w:szCs w:val="44"/>
        </w:rPr>
      </w:pPr>
      <w:r>
        <w:rPr>
          <w:rFonts w:hint="eastAsia" w:ascii="方正小标宋简体" w:hAnsi="仿宋" w:eastAsia="方正小标宋简体" w:cs="方正仿宋简体"/>
          <w:color w:val="000000"/>
          <w:sz w:val="32"/>
          <w:szCs w:val="32"/>
        </w:rPr>
        <w:t>江门市食品用塑料容器工具</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widowControl/>
        <w:jc w:val="left"/>
        <w:rPr>
          <w:b/>
        </w:rPr>
      </w:pPr>
    </w:p>
    <w:p>
      <w:pPr>
        <w:widowControl/>
        <w:spacing w:line="560" w:lineRule="exact"/>
        <w:ind w:firstLine="420" w:firstLineChars="200"/>
        <w:jc w:val="left"/>
        <w:rPr>
          <w:rFonts w:ascii="宋体" w:hAnsi="宋体"/>
          <w:color w:val="000000"/>
          <w:szCs w:val="21"/>
        </w:rPr>
      </w:pPr>
      <w:r>
        <w:rPr>
          <w:rFonts w:hint="eastAsia" w:ascii="宋体" w:hAnsi="宋体"/>
          <w:color w:val="000000"/>
          <w:szCs w:val="21"/>
        </w:rPr>
        <w:t>本细则适用于江门市生产环节中食品接触用塑料容器工具的市级监督抽查。</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1、抽样方法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widowControl/>
        <w:spacing w:line="560" w:lineRule="exact"/>
        <w:ind w:firstLine="420" w:firstLineChars="200"/>
        <w:jc w:val="left"/>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ind w:firstLine="420" w:firstLineChars="200"/>
        <w:jc w:val="center"/>
        <w:rPr>
          <w:color w:val="000000"/>
          <w:szCs w:val="21"/>
        </w:rPr>
      </w:pPr>
      <w:r>
        <w:rPr>
          <w:rFonts w:hint="eastAsia"/>
          <w:color w:val="000000"/>
          <w:szCs w:val="21"/>
        </w:rPr>
        <w:t>表1 抽取样品数量</w:t>
      </w:r>
    </w:p>
    <w:tbl>
      <w:tblPr>
        <w:tblStyle w:val="4"/>
        <w:tblW w:w="9073" w:type="dxa"/>
        <w:tblInd w:w="-269" w:type="dxa"/>
        <w:tblLayout w:type="fixed"/>
        <w:tblCellMar>
          <w:top w:w="15" w:type="dxa"/>
          <w:left w:w="15" w:type="dxa"/>
          <w:bottom w:w="15" w:type="dxa"/>
          <w:right w:w="15" w:type="dxa"/>
        </w:tblCellMar>
      </w:tblPr>
      <w:tblGrid>
        <w:gridCol w:w="762"/>
        <w:gridCol w:w="1508"/>
        <w:gridCol w:w="3544"/>
        <w:gridCol w:w="3259"/>
      </w:tblGrid>
      <w:tr>
        <w:tblPrEx>
          <w:tblLayout w:type="fixed"/>
          <w:tblCellMar>
            <w:top w:w="15" w:type="dxa"/>
            <w:left w:w="15" w:type="dxa"/>
            <w:bottom w:w="15" w:type="dxa"/>
            <w:right w:w="15" w:type="dxa"/>
          </w:tblCellMar>
        </w:tblPrEx>
        <w:trPr>
          <w:trHeight w:val="285" w:hRule="atLeast"/>
        </w:trPr>
        <w:tc>
          <w:tcPr>
            <w:tcW w:w="7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b/>
                <w:szCs w:val="21"/>
              </w:rPr>
            </w:pPr>
            <w:r>
              <w:rPr>
                <w:rFonts w:hint="eastAsia" w:ascii="宋体" w:hAnsi="宋体" w:cs="宋体"/>
                <w:b/>
                <w:szCs w:val="21"/>
              </w:rPr>
              <w:t>序号</w:t>
            </w:r>
          </w:p>
        </w:tc>
        <w:tc>
          <w:tcPr>
            <w:tcW w:w="15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b/>
                <w:szCs w:val="21"/>
              </w:rPr>
            </w:pPr>
            <w:r>
              <w:rPr>
                <w:rFonts w:hint="eastAsia" w:ascii="宋体" w:hAnsi="宋体" w:cs="宋体"/>
                <w:b/>
                <w:szCs w:val="21"/>
              </w:rPr>
              <w:t>抽查产品</w:t>
            </w:r>
          </w:p>
        </w:tc>
        <w:tc>
          <w:tcPr>
            <w:tcW w:w="354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b/>
                <w:szCs w:val="21"/>
              </w:rPr>
            </w:pPr>
            <w:r>
              <w:rPr>
                <w:rFonts w:hint="eastAsia" w:ascii="宋体" w:hAnsi="宋体" w:cs="宋体"/>
                <w:b/>
                <w:szCs w:val="21"/>
              </w:rPr>
              <w:t>相关产品</w:t>
            </w:r>
          </w:p>
        </w:tc>
        <w:tc>
          <w:tcPr>
            <w:tcW w:w="325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b/>
                <w:szCs w:val="21"/>
              </w:rPr>
            </w:pPr>
            <w:r>
              <w:rPr>
                <w:rFonts w:hint="eastAsia" w:ascii="宋体" w:hAnsi="宋体" w:cs="宋体"/>
                <w:b/>
                <w:szCs w:val="21"/>
              </w:rPr>
              <w:t>抽样数量</w:t>
            </w:r>
          </w:p>
        </w:tc>
      </w:tr>
      <w:tr>
        <w:tblPrEx>
          <w:tblLayout w:type="fixed"/>
          <w:tblCellMar>
            <w:top w:w="15" w:type="dxa"/>
            <w:left w:w="15" w:type="dxa"/>
            <w:bottom w:w="15" w:type="dxa"/>
            <w:right w:w="15" w:type="dxa"/>
          </w:tblCellMar>
        </w:tblPrEx>
        <w:trPr>
          <w:trHeight w:val="422" w:hRule="atLeast"/>
        </w:trPr>
        <w:tc>
          <w:tcPr>
            <w:tcW w:w="762" w:type="dxa"/>
            <w:vMerge w:val="restart"/>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1</w:t>
            </w:r>
          </w:p>
        </w:tc>
        <w:tc>
          <w:tcPr>
            <w:tcW w:w="1508" w:type="dxa"/>
            <w:vMerge w:val="restart"/>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吸管</w:t>
            </w:r>
          </w:p>
        </w:tc>
        <w:tc>
          <w:tcPr>
            <w:tcW w:w="3544"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聚乙烯吸管、聚丙烯材质吸管</w:t>
            </w:r>
          </w:p>
        </w:tc>
        <w:tc>
          <w:tcPr>
            <w:tcW w:w="32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不少于8包（100个/包），6包作为检验样品，2包作为复检备用样品。</w:t>
            </w:r>
          </w:p>
        </w:tc>
      </w:tr>
      <w:tr>
        <w:tblPrEx>
          <w:tblLayout w:type="fixed"/>
          <w:tblCellMar>
            <w:top w:w="15" w:type="dxa"/>
            <w:left w:w="15" w:type="dxa"/>
            <w:bottom w:w="15" w:type="dxa"/>
            <w:right w:w="15" w:type="dxa"/>
          </w:tblCellMar>
        </w:tblPrEx>
        <w:trPr>
          <w:trHeight w:val="422" w:hRule="atLeast"/>
        </w:trPr>
        <w:tc>
          <w:tcPr>
            <w:tcW w:w="762" w:type="dxa"/>
            <w:vMerge w:val="continue"/>
            <w:tcBorders>
              <w:left w:val="single" w:color="000000" w:sz="4" w:space="0"/>
              <w:bottom w:val="single" w:color="000000" w:sz="4" w:space="0"/>
              <w:right w:val="single" w:color="000000" w:sz="4" w:space="0"/>
            </w:tcBorders>
            <w:shd w:val="clear" w:color="auto" w:fill="FFFFFF"/>
            <w:noWrap w:val="0"/>
            <w:vAlign w:val="center"/>
          </w:tcPr>
          <w:p>
            <w:pPr>
              <w:jc w:val="center"/>
              <w:textAlignment w:val="center"/>
            </w:pPr>
          </w:p>
        </w:tc>
        <w:tc>
          <w:tcPr>
            <w:tcW w:w="1508" w:type="dxa"/>
            <w:vMerge w:val="continue"/>
            <w:tcBorders>
              <w:left w:val="single" w:color="000000" w:sz="4" w:space="0"/>
              <w:bottom w:val="single" w:color="000000" w:sz="4" w:space="0"/>
              <w:right w:val="single" w:color="000000" w:sz="4" w:space="0"/>
            </w:tcBorders>
            <w:shd w:val="clear" w:color="auto" w:fill="FFFFFF"/>
            <w:noWrap w:val="0"/>
            <w:vAlign w:val="center"/>
          </w:tcPr>
          <w:p>
            <w:pPr>
              <w:jc w:val="center"/>
              <w:textAlignment w:val="center"/>
            </w:pPr>
          </w:p>
        </w:tc>
        <w:tc>
          <w:tcPr>
            <w:tcW w:w="3544" w:type="dxa"/>
            <w:tcBorders>
              <w:top w:val="single" w:color="000000" w:sz="4" w:space="0"/>
              <w:left w:val="single" w:color="000000" w:sz="4" w:space="0"/>
              <w:bottom w:val="single" w:color="000000" w:sz="4" w:space="0"/>
              <w:right w:val="single" w:color="auto"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硅橡胶吸管</w:t>
            </w:r>
          </w:p>
        </w:tc>
        <w:tc>
          <w:tcPr>
            <w:tcW w:w="32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不少于20根，16根作为检验样品，4根作为复检备用样品。</w:t>
            </w:r>
          </w:p>
        </w:tc>
      </w:tr>
      <w:tr>
        <w:tblPrEx>
          <w:tblLayout w:type="fixed"/>
          <w:tblCellMar>
            <w:top w:w="15" w:type="dxa"/>
            <w:left w:w="15" w:type="dxa"/>
            <w:bottom w:w="15" w:type="dxa"/>
            <w:right w:w="15" w:type="dxa"/>
          </w:tblCellMar>
        </w:tblPrEx>
        <w:trPr>
          <w:trHeight w:val="1684" w:hRule="atLeast"/>
        </w:trPr>
        <w:tc>
          <w:tcPr>
            <w:tcW w:w="7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2</w:t>
            </w:r>
          </w:p>
        </w:tc>
        <w:tc>
          <w:tcPr>
            <w:tcW w:w="150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食品用塑料容器</w:t>
            </w:r>
          </w:p>
        </w:tc>
        <w:tc>
          <w:tcPr>
            <w:tcW w:w="354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聚氯乙烯、聚丙烯、聚乙烯、聚苯乙烯、聚对苯二甲酸乙二醇酯、聚碳酸酯、橡胶改性的丙烯腈-丁二烯-苯乙烯、丙烯腈-苯乙烯、玻璃钢材质的餐盒、保鲜盒、水壶、水杯等</w:t>
            </w:r>
          </w:p>
        </w:tc>
        <w:tc>
          <w:tcPr>
            <w:tcW w:w="3259"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不少于16个，12个作为检验样品，4个作为复检备用样品。</w:t>
            </w:r>
          </w:p>
        </w:tc>
      </w:tr>
      <w:tr>
        <w:tblPrEx>
          <w:tblLayout w:type="fixed"/>
          <w:tblCellMar>
            <w:top w:w="15" w:type="dxa"/>
            <w:left w:w="15" w:type="dxa"/>
            <w:bottom w:w="15" w:type="dxa"/>
            <w:right w:w="15" w:type="dxa"/>
          </w:tblCellMar>
        </w:tblPrEx>
        <w:trPr>
          <w:trHeight w:val="800" w:hRule="atLeast"/>
        </w:trPr>
        <w:tc>
          <w:tcPr>
            <w:tcW w:w="762" w:type="dxa"/>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3</w:t>
            </w:r>
          </w:p>
        </w:tc>
        <w:tc>
          <w:tcPr>
            <w:tcW w:w="1508" w:type="dxa"/>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饭盒</w:t>
            </w:r>
          </w:p>
        </w:tc>
        <w:tc>
          <w:tcPr>
            <w:tcW w:w="3544" w:type="dxa"/>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PC、PE、PP塑料饭盒</w:t>
            </w:r>
          </w:p>
        </w:tc>
        <w:tc>
          <w:tcPr>
            <w:tcW w:w="3259" w:type="dxa"/>
            <w:tcBorders>
              <w:top w:val="single" w:color="000000" w:sz="4" w:space="0"/>
              <w:left w:val="single" w:color="000000" w:sz="4" w:space="0"/>
              <w:right w:val="single" w:color="000000" w:sz="4" w:space="0"/>
            </w:tcBorders>
            <w:shd w:val="clear" w:color="auto" w:fill="FFFFFF"/>
            <w:noWrap w:val="0"/>
            <w:vAlign w:val="center"/>
          </w:tcPr>
          <w:p>
            <w:pPr>
              <w:jc w:val="center"/>
              <w:textAlignment w:val="center"/>
              <w:rPr>
                <w:rFonts w:ascii="宋体" w:hAnsi="宋体" w:cs="宋体"/>
                <w:szCs w:val="21"/>
              </w:rPr>
            </w:pPr>
            <w:r>
              <w:rPr>
                <w:rFonts w:hint="eastAsia" w:ascii="宋体" w:hAnsi="宋体" w:cs="宋体"/>
                <w:szCs w:val="21"/>
              </w:rPr>
              <w:t>不少于14个，12个作为检验样品，2个作为复检备用样品。</w:t>
            </w:r>
          </w:p>
        </w:tc>
      </w:tr>
      <w:tr>
        <w:tblPrEx>
          <w:tblLayout w:type="fixed"/>
          <w:tblCellMar>
            <w:top w:w="15" w:type="dxa"/>
            <w:left w:w="15" w:type="dxa"/>
            <w:bottom w:w="15" w:type="dxa"/>
            <w:right w:w="15" w:type="dxa"/>
          </w:tblCellMar>
        </w:tblPrEx>
        <w:trPr>
          <w:trHeight w:val="285" w:hRule="atLeast"/>
        </w:trPr>
        <w:tc>
          <w:tcPr>
            <w:tcW w:w="9073" w:type="dxa"/>
            <w:gridSpan w:val="4"/>
            <w:tcBorders>
              <w:top w:val="single" w:color="auto" w:sz="4" w:space="0"/>
              <w:left w:val="single" w:color="000000" w:sz="4" w:space="0"/>
              <w:bottom w:val="single" w:color="auto" w:sz="4" w:space="0"/>
              <w:right w:val="single" w:color="000000" w:sz="4" w:space="0"/>
            </w:tcBorders>
            <w:shd w:val="clear" w:color="auto" w:fill="FFFFFF"/>
            <w:noWrap w:val="0"/>
            <w:vAlign w:val="center"/>
          </w:tcPr>
          <w:p>
            <w:pPr>
              <w:snapToGrid w:val="0"/>
              <w:spacing w:line="440" w:lineRule="exact"/>
              <w:jc w:val="left"/>
              <w:rPr>
                <w:rFonts w:ascii="宋体" w:hAnsi="宋体"/>
                <w:color w:val="000000"/>
                <w:szCs w:val="21"/>
              </w:rPr>
            </w:pPr>
            <w:r>
              <w:rPr>
                <w:rFonts w:hint="eastAsia" w:ascii="宋体" w:hAnsi="宋体"/>
                <w:color w:val="000000"/>
                <w:szCs w:val="21"/>
              </w:rPr>
              <w:t>注：（1）产品抽样数量可根据样品的实际大小，在满足检验的条件下做适当调整；</w:t>
            </w:r>
          </w:p>
          <w:p>
            <w:pPr>
              <w:ind w:firstLine="210" w:firstLineChars="100"/>
              <w:jc w:val="left"/>
              <w:rPr>
                <w:rFonts w:ascii="宋体" w:hAnsi="宋体" w:cs="宋体"/>
                <w:szCs w:val="21"/>
              </w:rPr>
            </w:pPr>
            <w:r>
              <w:rPr>
                <w:rFonts w:hint="eastAsia" w:ascii="宋体" w:hAnsi="宋体"/>
                <w:color w:val="000000"/>
                <w:szCs w:val="21"/>
              </w:rPr>
              <w:t>（2）抽取的两份样品分别单独封装，一份作为检验样品，一份作为复检备用样品。复检备用样品保存在承检机构。检验样品和复检备用样品包装内应至少分别放一张所抽样品的产品合格证。</w:t>
            </w:r>
          </w:p>
        </w:tc>
      </w:tr>
    </w:tbl>
    <w:p>
      <w:pPr>
        <w:snapToGrid w:val="0"/>
        <w:spacing w:line="440" w:lineRule="exact"/>
        <w:rPr>
          <w:rFonts w:ascii="宋体" w:hAnsi="宋体"/>
          <w:color w:val="000000"/>
          <w:szCs w:val="21"/>
        </w:rPr>
      </w:pPr>
      <w:r>
        <w:rPr>
          <w:rFonts w:hint="eastAsia" w:ascii="宋体" w:hAnsi="宋体"/>
          <w:color w:val="000000"/>
          <w:szCs w:val="21"/>
        </w:rPr>
        <w:t>注：需提供产品的标识或符合性声明。</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2、检验依据</w:t>
      </w:r>
    </w:p>
    <w:p>
      <w:pPr>
        <w:snapToGrid w:val="0"/>
        <w:spacing w:line="440" w:lineRule="exact"/>
        <w:ind w:firstLine="420" w:firstLineChars="200"/>
        <w:jc w:val="center"/>
        <w:rPr>
          <w:color w:val="000000"/>
          <w:szCs w:val="21"/>
        </w:rPr>
      </w:pPr>
      <w:r>
        <w:rPr>
          <w:rFonts w:hint="eastAsia"/>
          <w:color w:val="000000"/>
          <w:szCs w:val="21"/>
        </w:rPr>
        <w:t>表1  食品接触用塑料容器工具检验项目</w:t>
      </w:r>
    </w:p>
    <w:tbl>
      <w:tblPr>
        <w:tblStyle w:val="4"/>
        <w:tblW w:w="92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805"/>
        <w:gridCol w:w="1785"/>
        <w:gridCol w:w="2073"/>
        <w:gridCol w:w="1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感官指标</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GB4806.7</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GB4806.7</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2</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总迁移量</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GB4806.7</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31604.8</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3</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高锰酸钾消耗量</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GB4806.7</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31604.2</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4</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重金属（以Pb计）</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GB4806.7</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31604.9</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5</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脱色试验</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GB4806.7</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31604.7</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仅适用添加了着色剂的产品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6</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锑（以Sb计）</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GB4806.6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31604.41</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（限PET材质）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7</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酚(蒸馏水)</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4806.6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31604.46</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（限PC材质）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8</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己内酰胺</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4806.6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31604.19</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（限尼龙材质）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9</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氯乙烯单体</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4806.6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cs="宋体"/>
                <w:szCs w:val="21"/>
              </w:rPr>
            </w:pPr>
            <w:r>
              <w:rPr>
                <w:rFonts w:hint="eastAsia" w:cs="宋体"/>
                <w:szCs w:val="21"/>
              </w:rPr>
              <w:t>GB 31604.31</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（限PVC材质）</w:t>
            </w:r>
          </w:p>
        </w:tc>
      </w:tr>
    </w:tbl>
    <w:p>
      <w:pPr>
        <w:widowControl/>
        <w:jc w:val="left"/>
        <w:rPr>
          <w:b/>
        </w:rPr>
      </w:pPr>
    </w:p>
    <w:p>
      <w:pPr>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360" w:lineRule="auto"/>
        <w:ind w:firstLine="359" w:firstLineChars="171"/>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360" w:lineRule="auto"/>
        <w:rPr>
          <w:rFonts w:hint="eastAsia"/>
          <w:b/>
          <w:color w:val="000000"/>
          <w:sz w:val="24"/>
        </w:rPr>
      </w:pPr>
    </w:p>
    <w:p>
      <w:pPr>
        <w:snapToGrid w:val="0"/>
        <w:spacing w:line="360" w:lineRule="auto"/>
        <w:rPr>
          <w:b/>
          <w:color w:val="000000"/>
          <w:sz w:val="24"/>
        </w:rPr>
      </w:pPr>
      <w:bookmarkStart w:id="0" w:name="_GoBack"/>
      <w:bookmarkEnd w:id="0"/>
      <w:r>
        <w:rPr>
          <w:rFonts w:hint="eastAsia"/>
          <w:b/>
          <w:color w:val="000000"/>
          <w:sz w:val="24"/>
        </w:rPr>
        <w:t>3、判定规则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4806.7-2016食品安全国家标准 食品接触用塑料材料及制品</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4806.6-2016 食品安全国家标准 食品接触用塑料树脂</w:t>
      </w:r>
    </w:p>
    <w:p>
      <w:pPr>
        <w:snapToGrid w:val="0"/>
        <w:spacing w:line="360" w:lineRule="auto"/>
        <w:ind w:firstLine="359" w:firstLineChars="171"/>
        <w:rPr>
          <w:rFonts w:ascii="宋体" w:hAnsi="宋体"/>
          <w:color w:val="000000"/>
          <w:szCs w:val="21"/>
        </w:rPr>
      </w:pPr>
      <w:r>
        <w:rPr>
          <w:rFonts w:hint="eastAsia" w:ascii="宋体" w:hAnsi="宋体"/>
          <w:color w:val="000000"/>
          <w:szCs w:val="21"/>
        </w:rPr>
        <w:t>《食品相关产品生产许可实施细则（一）食品用塑料包装容器工具等制品部分》</w:t>
      </w:r>
    </w:p>
    <w:p>
      <w:pPr>
        <w:snapToGrid w:val="0"/>
        <w:spacing w:line="360" w:lineRule="auto"/>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r>
        <w:rPr>
          <w:rFonts w:hint="eastAsia" w:ascii="黑体" w:hAnsi="宋体" w:eastAsia="黑体"/>
          <w:szCs w:val="21"/>
        </w:rPr>
        <w:t>。</w:t>
      </w:r>
    </w:p>
    <w:p>
      <w:pPr>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鼎小标宋简">
    <w:altName w:val="微软雅黑"/>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4547981"/>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14BD"/>
    <w:rsid w:val="00143D32"/>
    <w:rsid w:val="001A7812"/>
    <w:rsid w:val="00347B36"/>
    <w:rsid w:val="003B14BD"/>
    <w:rsid w:val="004D2989"/>
    <w:rsid w:val="008D5CB7"/>
    <w:rsid w:val="00953263"/>
    <w:rsid w:val="009E0A4B"/>
    <w:rsid w:val="00A02099"/>
    <w:rsid w:val="00AB3D2E"/>
    <w:rsid w:val="00B8477D"/>
    <w:rsid w:val="00BC4686"/>
    <w:rsid w:val="00CF2821"/>
    <w:rsid w:val="43DD7891"/>
    <w:rsid w:val="709B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204</Words>
  <Characters>1163</Characters>
  <Lines>9</Lines>
  <Paragraphs>2</Paragraphs>
  <TotalTime>0</TotalTime>
  <ScaleCrop>false</ScaleCrop>
  <LinksUpToDate>false</LinksUpToDate>
  <CharactersWithSpaces>1365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2019-07-12T00:30:00Z</dcterms:created>
  <dc:creator>陈卓辉</dc:creator>
  <cp:lastModifiedBy>陈卓辉</cp:lastModifiedBy>
  <dcterms:modified xsi:type="dcterms:W3CDTF">2021-07-12T04:45:25Z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